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03F41D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720" w:lineRule="auto"/>
        <w:ind w:firstLine="640" w:firstLineChars="200"/>
        <w:jc w:val="center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hAnsi="黑体" w:cs="黑体"/>
          <w:b w:val="0"/>
          <w:bCs/>
          <w:sz w:val="32"/>
          <w:szCs w:val="32"/>
          <w:lang w:val="en-US" w:eastAsia="zh-CN"/>
        </w:rPr>
        <w:t>步头降乡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关于</w:t>
      </w:r>
      <w:r>
        <w:rPr>
          <w:rFonts w:hint="eastAsia" w:ascii="Times New Roman" w:hAnsi="Times New Roman" w:eastAsia="仿宋_GB2312"/>
          <w:sz w:val="32"/>
          <w:szCs w:val="32"/>
        </w:rPr>
        <w:t>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4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年度预算绩效情况的说明</w:t>
      </w:r>
    </w:p>
    <w:p w14:paraId="74E81A8A"/>
    <w:p w14:paraId="028B44B3">
      <w:pPr>
        <w:numPr>
          <w:ilvl w:val="0"/>
          <w:numId w:val="1"/>
        </w:numPr>
        <w:overflowPunct w:val="0"/>
        <w:spacing w:line="600" w:lineRule="exact"/>
        <w:ind w:firstLine="643" w:firstLineChars="200"/>
        <w:rPr>
          <w:rFonts w:ascii="Times New Roman" w:hAnsi="Times New Roman" w:eastAsia="楷体_GB2312" w:cs="Times New Roman"/>
          <w:b/>
          <w:bCs/>
          <w:sz w:val="32"/>
          <w:szCs w:val="32"/>
        </w:rPr>
      </w:pPr>
      <w:r>
        <w:rPr>
          <w:rFonts w:ascii="Times New Roman" w:hAnsi="Times New Roman" w:eastAsia="楷体_GB2312" w:cs="Times New Roman"/>
          <w:b/>
          <w:bCs/>
          <w:sz w:val="32"/>
          <w:szCs w:val="32"/>
        </w:rPr>
        <w:t>绩效评价工作开展情况。</w:t>
      </w:r>
    </w:p>
    <w:p w14:paraId="6B418A8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  <w:u w:val="none"/>
          <w:shd w:val="clear" w:color="auto" w:fill="FFFFFF"/>
          <w:lang w:val="en-US" w:eastAsia="zh-CN"/>
        </w:rPr>
      </w:pPr>
      <w:r>
        <w:rPr>
          <w:rFonts w:ascii="Times New Roman" w:hAnsi="Times New Roman" w:eastAsia="仿宋_GB2312" w:cs="Times New Roman"/>
          <w:b/>
          <w:bCs/>
          <w:kern w:val="0"/>
          <w:sz w:val="32"/>
          <w:szCs w:val="32"/>
        </w:rPr>
        <w:t>绩效自评开展情况。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我单位2024年财政总收入1263.96万元，与全年预算数持平，比上年决算数增加81.05万元，增加6.85%。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组织对2024年度本部门（单位）整体支出开展绩效自评，涉及项目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11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个，共涉及资金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197.98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万元。其中，一般公共预算项目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11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个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197.98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万元，占一般公共预算支出总额的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17.6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%；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  <w:u w:val="none"/>
          <w:lang w:eastAsia="zh-CN"/>
        </w:rPr>
        <w:t>202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  <w:u w:val="non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none"/>
        </w:rPr>
        <w:t>年本</w:t>
      </w:r>
      <w:bookmarkStart w:id="0" w:name="IS_DEPT6"/>
      <w:bookmarkEnd w:id="0"/>
      <w:bookmarkStart w:id="1" w:name="DIS_MARK_DEPT6"/>
      <w:bookmarkEnd w:id="1"/>
      <w:bookmarkStart w:id="2" w:name="START_DEPT6"/>
      <w:bookmarkEnd w:id="2"/>
      <w:bookmarkStart w:id="3" w:name="START_DIV6"/>
      <w:bookmarkEnd w:id="3"/>
      <w:bookmarkStart w:id="4" w:name="END_DEPT6"/>
      <w:bookmarkEnd w:id="4"/>
      <w:bookmarkStart w:id="5" w:name="DIS_MARK_DIV6"/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/>
          <w:shd w:val="clear" w:color="auto" w:fill="FFFFFF"/>
        </w:rPr>
        <w:t>单位</w:t>
      </w:r>
      <w:bookmarkEnd w:id="5"/>
      <w:bookmarkStart w:id="6" w:name="END_DIV6"/>
      <w:bookmarkEnd w:id="6"/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none"/>
        </w:rPr>
        <w:t>项目支出预算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  <w:u w:val="none"/>
          <w:lang w:val="en-US" w:eastAsia="zh-CN"/>
        </w:rPr>
        <w:t>197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none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  <w:u w:val="none"/>
          <w:lang w:val="en-US" w:eastAsia="zh-CN"/>
        </w:rPr>
        <w:t>98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none"/>
        </w:rPr>
        <w:t>万元，主要是</w:t>
      </w:r>
      <w:bookmarkStart w:id="7" w:name="START_DEPT7"/>
      <w:bookmarkEnd w:id="7"/>
      <w:bookmarkStart w:id="8" w:name="DIS_MARK_DEPT7"/>
      <w:bookmarkEnd w:id="8"/>
      <w:bookmarkStart w:id="9" w:name="IS_DEPT7"/>
      <w:bookmarkEnd w:id="9"/>
      <w:bookmarkStart w:id="10" w:name="END_DEPT7"/>
      <w:bookmarkEnd w:id="10"/>
      <w:bookmarkStart w:id="11" w:name="START_DIV7"/>
      <w:bookmarkEnd w:id="11"/>
      <w:bookmarkStart w:id="12" w:name="DIS_MARK_DIV7"/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/>
          <w:shd w:val="clear" w:color="auto" w:fill="FFFFFF"/>
        </w:rPr>
        <w:t>单位</w:t>
      </w:r>
      <w:bookmarkEnd w:id="12"/>
      <w:bookmarkStart w:id="13" w:name="END_DIV7"/>
      <w:bookmarkEnd w:id="13"/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none"/>
        </w:rPr>
        <w:t>为完成特定行政工作任务或事业发展目标而发生的支出，包括有关事业发展专项、专项业务费、基本建设支出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none"/>
          <w:lang w:val="en-US" w:eastAsia="zh-CN"/>
        </w:rPr>
        <w:t>等</w:t>
      </w:r>
      <w:bookmarkStart w:id="14" w:name="START_PUNCTUATION_MARK"/>
      <w:bookmarkEnd w:id="14"/>
      <w:bookmarkStart w:id="15" w:name="START_PAY_YBGGFWXMZC"/>
      <w:bookmarkEnd w:id="15"/>
      <w:bookmarkStart w:id="16" w:name="DIS_MARK_PUNCTUATION_MARK"/>
      <w:bookmarkEnd w:id="16"/>
      <w:bookmarkStart w:id="17" w:name="END_PUNCTUATION_MARK"/>
      <w:bookmarkEnd w:id="17"/>
      <w:bookmarkStart w:id="18" w:name="DIS_MARK_PAY_YBGGFWXMZC"/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none"/>
          <w:lang w:val="en-US" w:eastAsia="zh-CN"/>
        </w:rPr>
        <w:t>，其中：村（社区）党报党刊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  <w:u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none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  <w:u w:val="none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none"/>
          <w:lang w:val="en-US" w:eastAsia="zh-CN"/>
        </w:rPr>
        <w:t>万元，主要用于订阅村级党报党刊的支出；村干部养老保险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  <w:u w:val="none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none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  <w:u w:val="non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none"/>
          <w:lang w:val="en-US" w:eastAsia="zh-CN"/>
        </w:rPr>
        <w:t>万元，主要用于发放村主干养老保险的支出；村干部报酬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  <w:u w:val="none"/>
          <w:lang w:val="en-US" w:eastAsia="zh-CN"/>
        </w:rPr>
        <w:t>84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none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  <w:u w:val="none"/>
          <w:lang w:val="en-US" w:eastAsia="zh-CN"/>
        </w:rPr>
        <w:t>36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none"/>
          <w:lang w:val="en-US" w:eastAsia="zh-CN"/>
        </w:rPr>
        <w:t>万元，主要用于发放村干部的工资；村干部绩效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  <w:u w:val="none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none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  <w:u w:val="none"/>
          <w:lang w:val="en-US" w:eastAsia="zh-CN"/>
        </w:rPr>
        <w:t>36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none"/>
          <w:lang w:val="en-US" w:eastAsia="zh-CN"/>
        </w:rPr>
        <w:t>万元，主要用于发放村干部的绩效的支出；村级日常办公经费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  <w:u w:val="none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none"/>
          <w:lang w:val="en-US" w:eastAsia="zh-CN"/>
        </w:rPr>
        <w:t>万元，主要用于村级日常办公经费的支出；村务监督委员会经费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  <w:u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none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  <w:u w:val="none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none"/>
          <w:lang w:val="en-US" w:eastAsia="zh-CN"/>
        </w:rPr>
        <w:t>万元，主要用于村级监委会工作经费的支出；离任村干部生活补助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  <w:u w:val="none"/>
          <w:lang w:val="en-US" w:eastAsia="zh-CN"/>
        </w:rPr>
        <w:t>33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none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  <w:u w:val="none"/>
          <w:lang w:val="en-US" w:eastAsia="zh-CN"/>
        </w:rPr>
        <w:t>78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none"/>
          <w:lang w:val="en-US" w:eastAsia="zh-CN"/>
        </w:rPr>
        <w:t>万元，主要用于发放离任村干部生活补助的支出；离退休人员生活补助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  <w:u w:val="non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none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  <w:u w:val="none"/>
          <w:lang w:val="en-US" w:eastAsia="zh-CN"/>
        </w:rPr>
        <w:t>68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none"/>
          <w:lang w:val="en-US" w:eastAsia="zh-CN"/>
        </w:rPr>
        <w:t>万元，主要用于发放离退休人员生活补助的支出；其他人员经费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  <w:u w:val="non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none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  <w:u w:val="none"/>
          <w:lang w:val="en-US" w:eastAsia="zh-CN"/>
        </w:rPr>
        <w:t>332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none"/>
          <w:lang w:val="en-US" w:eastAsia="zh-CN"/>
        </w:rPr>
        <w:t>万元，主要用于发放退休人员独生子女补助和遗属补助的支出；专项业务经费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  <w:u w:val="none"/>
          <w:lang w:val="en-US" w:eastAsia="zh-CN"/>
        </w:rPr>
        <w:t>31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none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  <w:u w:val="none"/>
          <w:lang w:val="en-US" w:eastAsia="zh-CN"/>
        </w:rPr>
        <w:t>671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none"/>
          <w:lang w:val="en-US" w:eastAsia="zh-CN"/>
        </w:rPr>
        <w:t>万元，主要用于村级业务专项经费和其他基本支出。</w:t>
      </w:r>
      <w:bookmarkEnd w:id="18"/>
      <w:bookmarkStart w:id="19" w:name="END_PAY_XMMC_15_AMT"/>
      <w:bookmarkEnd w:id="19"/>
      <w:bookmarkStart w:id="20" w:name="END_PAY_NLSZC_AMT_2"/>
      <w:bookmarkEnd w:id="20"/>
      <w:bookmarkStart w:id="21" w:name="END_PAY_XMMC_01_AMT"/>
      <w:bookmarkEnd w:id="21"/>
      <w:bookmarkStart w:id="22" w:name="DIS_MARK_PAY_XMMC_04_AMT"/>
      <w:bookmarkEnd w:id="22"/>
      <w:bookmarkStart w:id="23" w:name="START_PAY_XMMC_19_AMT"/>
      <w:bookmarkEnd w:id="23"/>
      <w:bookmarkStart w:id="24" w:name="END_PAY_XMMC_07_AMT"/>
      <w:bookmarkEnd w:id="24"/>
      <w:bookmarkStart w:id="25" w:name="DIS_MARK_PAY_XMMC_23_AMT"/>
      <w:bookmarkEnd w:id="25"/>
      <w:bookmarkStart w:id="26" w:name="DIS_MARK_PAY_XMMC_03_AMT"/>
      <w:bookmarkEnd w:id="26"/>
      <w:bookmarkStart w:id="27" w:name="START_PAY_XMMC_25_AMT"/>
      <w:bookmarkEnd w:id="27"/>
      <w:bookmarkStart w:id="28" w:name="START_PAY_ZRZYHYQXZC_AMT_2"/>
      <w:bookmarkEnd w:id="28"/>
      <w:bookmarkStart w:id="29" w:name="DIS_MARK_PAY_ZHFZJYJGLZC_AMT_2"/>
      <w:bookmarkEnd w:id="29"/>
      <w:bookmarkStart w:id="30" w:name="END_PAY_YZQTDQZC_AMT_2"/>
      <w:bookmarkEnd w:id="30"/>
      <w:bookmarkStart w:id="31" w:name="DIS_MARK_PAY_ZWFXFZC_AMT_2"/>
      <w:bookmarkEnd w:id="31"/>
      <w:bookmarkStart w:id="32" w:name="END_PAY_XMMC_11_AMT"/>
      <w:bookmarkEnd w:id="32"/>
      <w:bookmarkStart w:id="33" w:name="END_PAY_XMMC_18_AMT"/>
      <w:bookmarkEnd w:id="33"/>
      <w:bookmarkStart w:id="34" w:name="START_PAY_XMMC_14_AMT"/>
      <w:bookmarkEnd w:id="34"/>
      <w:bookmarkStart w:id="35" w:name="END_PAY_XMMC_27_AMT"/>
      <w:bookmarkEnd w:id="35"/>
      <w:bookmarkStart w:id="36" w:name="DIS_MARK_PAY_XMMC_07_AMT"/>
      <w:bookmarkEnd w:id="36"/>
      <w:bookmarkStart w:id="37" w:name="END_PAY_XMMC_28_AMT"/>
      <w:bookmarkEnd w:id="37"/>
      <w:bookmarkStart w:id="38" w:name="START_PAY_XMMC_10_AMT"/>
      <w:bookmarkEnd w:id="38"/>
      <w:bookmarkStart w:id="39" w:name="END_PAY_XMMC_17_AMT"/>
      <w:bookmarkEnd w:id="39"/>
      <w:bookmarkStart w:id="40" w:name="END_PAY_XMMC_02_AMT"/>
      <w:bookmarkEnd w:id="40"/>
      <w:bookmarkStart w:id="41" w:name="DIS_MARK_PAY_XMMC_15_AMT"/>
      <w:bookmarkEnd w:id="41"/>
      <w:bookmarkStart w:id="42" w:name="END_PAY_XMMC_05_AMT"/>
      <w:bookmarkEnd w:id="42"/>
      <w:bookmarkStart w:id="43" w:name="DIS_MARK_PAY_XMMC_25_AMT"/>
      <w:bookmarkEnd w:id="43"/>
      <w:bookmarkStart w:id="44" w:name="END_PAY_XMMC_19_AMT"/>
      <w:bookmarkEnd w:id="44"/>
      <w:bookmarkStart w:id="45" w:name="DIS_MARK_PAY_JRZC_AMT_2"/>
      <w:bookmarkEnd w:id="45"/>
      <w:bookmarkStart w:id="46" w:name="END_PAY_XMMC_20_AMT"/>
      <w:bookmarkEnd w:id="46"/>
      <w:bookmarkStart w:id="47" w:name="DIS_MARK_PAY_XMMC_21_AMT"/>
      <w:bookmarkEnd w:id="47"/>
      <w:bookmarkStart w:id="48" w:name="DIS_MARK_PAY_XMMC_09_AMT"/>
      <w:bookmarkEnd w:id="48"/>
      <w:bookmarkStart w:id="49" w:name="END_PAY_XMMC_13_AMT"/>
      <w:bookmarkEnd w:id="49"/>
      <w:bookmarkStart w:id="50" w:name="DIS_MARK_PAY_XMMC_26_AMT"/>
      <w:bookmarkEnd w:id="50"/>
      <w:bookmarkStart w:id="51" w:name="DIS_MARK_PAY_XMMC_22_AMT"/>
      <w:bookmarkEnd w:id="51"/>
      <w:bookmarkStart w:id="52" w:name="START_PAY_YBFZC_AMT_2"/>
      <w:bookmarkEnd w:id="52"/>
      <w:bookmarkStart w:id="53" w:name="DIS_MARK_PAY_XMMC_18_AMT"/>
      <w:bookmarkEnd w:id="53"/>
      <w:bookmarkStart w:id="54" w:name="END_PAY_YBFZC_AMT_2"/>
      <w:bookmarkEnd w:id="54"/>
      <w:bookmarkStart w:id="55" w:name="START_PAY_XMMC_28_AMT"/>
      <w:bookmarkEnd w:id="55"/>
      <w:bookmarkStart w:id="56" w:name="START_PAY_JTZC_AMT_2"/>
      <w:bookmarkEnd w:id="56"/>
      <w:bookmarkStart w:id="57" w:name="END_PAY_ZHFZJYJGLZC_AMT_2"/>
      <w:bookmarkEnd w:id="57"/>
      <w:bookmarkStart w:id="58" w:name="START_PAY_XMMC_20_AMT"/>
      <w:bookmarkEnd w:id="58"/>
      <w:bookmarkStart w:id="59" w:name="START_PAY_XMMC_13_AMT"/>
      <w:bookmarkEnd w:id="59"/>
      <w:bookmarkStart w:id="60" w:name="DIS_MARK_PAY_XMMC_05_AMT"/>
      <w:bookmarkEnd w:id="60"/>
      <w:bookmarkStart w:id="61" w:name="DIS_MARK_PAY_XMMC_08_AMT"/>
      <w:bookmarkEnd w:id="61"/>
      <w:bookmarkStart w:id="62" w:name="START_PAY_ZWFXZC_AMT_2"/>
      <w:bookmarkEnd w:id="62"/>
      <w:bookmarkStart w:id="63" w:name="END_PAY_XMMC_10_AMT"/>
      <w:bookmarkEnd w:id="63"/>
      <w:bookmarkStart w:id="64" w:name="DIS_MARK_PAY_XMMC_29_AMT"/>
      <w:bookmarkEnd w:id="64"/>
      <w:bookmarkStart w:id="65" w:name="START_PAY_XMMC_05_AMT"/>
      <w:bookmarkEnd w:id="65"/>
      <w:bookmarkStart w:id="66" w:name="DIS_MARK_PAY_XMMC_20_AMT"/>
      <w:bookmarkEnd w:id="66"/>
      <w:bookmarkStart w:id="67" w:name="START_PAY_ZFBZZC_AMT_2"/>
      <w:bookmarkEnd w:id="67"/>
      <w:bookmarkStart w:id="68" w:name="END_PAY_QTZC_AMT_2"/>
      <w:bookmarkEnd w:id="68"/>
      <w:bookmarkStart w:id="69" w:name="END_PAY_XMMC_08_AMT"/>
      <w:bookmarkEnd w:id="69"/>
      <w:bookmarkStart w:id="70" w:name="START_PAY_XMMC_23_AMT"/>
      <w:bookmarkEnd w:id="70"/>
      <w:bookmarkStart w:id="71" w:name="END_PAY_XMMC_04_AMT"/>
      <w:bookmarkEnd w:id="71"/>
      <w:bookmarkStart w:id="72" w:name="START_PAY_XMMC_04_AMT"/>
      <w:bookmarkEnd w:id="72"/>
      <w:bookmarkStart w:id="73" w:name="END_PAY_XMMC_21_AMT"/>
      <w:bookmarkEnd w:id="73"/>
      <w:bookmarkStart w:id="74" w:name="START_PAY_XMMC_18_AMT"/>
      <w:bookmarkEnd w:id="74"/>
      <w:bookmarkStart w:id="75" w:name="DIS_MARK_PAY_XMMC_24_AMT"/>
      <w:bookmarkEnd w:id="75"/>
      <w:bookmarkStart w:id="76" w:name="END_PAY_XMMC_22_AMT"/>
      <w:bookmarkEnd w:id="76"/>
      <w:bookmarkStart w:id="77" w:name="DIS_MARK_PAY_XMMC_30_AMT"/>
      <w:bookmarkEnd w:id="77"/>
      <w:bookmarkStart w:id="78" w:name="END_PAY_XMMC_16_AMT"/>
      <w:bookmarkEnd w:id="78"/>
      <w:bookmarkStart w:id="79" w:name="START_PAY_XMMC_24_AMT"/>
      <w:bookmarkEnd w:id="79"/>
      <w:bookmarkStart w:id="80" w:name="END_PAY_ZWHBZC_AMT_2"/>
      <w:bookmarkEnd w:id="80"/>
      <w:bookmarkStart w:id="81" w:name="START_PAY_XMMC_29_AMT"/>
      <w:bookmarkEnd w:id="81"/>
      <w:bookmarkStart w:id="82" w:name="DIS_MARK_PAY_XMMC_28_AMT"/>
      <w:bookmarkEnd w:id="82"/>
      <w:bookmarkStart w:id="83" w:name="DIS_MARK_PAY_XMMC_01_AMT"/>
      <w:bookmarkEnd w:id="83"/>
      <w:bookmarkStart w:id="84" w:name="END_PAY_XMMC_03_AMT"/>
      <w:bookmarkEnd w:id="84"/>
      <w:bookmarkStart w:id="85" w:name="END_PAY_XMMC_30_AMT"/>
      <w:bookmarkEnd w:id="85"/>
      <w:bookmarkStart w:id="86" w:name="START_PAY_XMMC_11_AMT"/>
      <w:bookmarkEnd w:id="86"/>
      <w:bookmarkStart w:id="87" w:name="DIS_MARK_PAY_LYWZCBZC_AMT_2"/>
      <w:bookmarkEnd w:id="87"/>
      <w:bookmarkStart w:id="88" w:name="DIS_MARK_PAY_XMMC_11_AMT"/>
      <w:bookmarkEnd w:id="88"/>
      <w:bookmarkStart w:id="89" w:name="DIS_MARK_PAY_YBFZC_AMT_2"/>
      <w:bookmarkEnd w:id="89"/>
      <w:bookmarkStart w:id="90" w:name="START_PAY_XMMC_21_AMT"/>
      <w:bookmarkEnd w:id="90"/>
      <w:bookmarkStart w:id="91" w:name="END_PAY_ZWFXFZC_AMT_2"/>
      <w:bookmarkEnd w:id="91"/>
      <w:bookmarkStart w:id="92" w:name="START_PAY_ZWFXFZC_AMT_2"/>
      <w:bookmarkEnd w:id="92"/>
      <w:bookmarkStart w:id="93" w:name="START_PAY_XMMC_26_AMT"/>
      <w:bookmarkEnd w:id="93"/>
      <w:bookmarkStart w:id="94" w:name="END_PAY_XMMC_26_AMT"/>
      <w:bookmarkEnd w:id="94"/>
      <w:bookmarkStart w:id="95" w:name="DIS_MARK_PAY_XMMC_06_AMT"/>
      <w:bookmarkEnd w:id="95"/>
      <w:bookmarkStart w:id="96" w:name="START_PAY_XMMC_17_AMT"/>
      <w:bookmarkEnd w:id="96"/>
      <w:bookmarkStart w:id="97" w:name="START_PAY_XMMC_09_AMT"/>
      <w:bookmarkEnd w:id="97"/>
      <w:bookmarkStart w:id="98" w:name="DIS_MARK_PAY_XMMC_19_AMT"/>
      <w:bookmarkEnd w:id="98"/>
      <w:bookmarkStart w:id="99" w:name="START_PAY_QTZC_AMT_2"/>
      <w:bookmarkEnd w:id="99"/>
      <w:bookmarkStart w:id="100" w:name="DIS_MARK_PAY_XMMC_16_AMT"/>
      <w:bookmarkEnd w:id="100"/>
      <w:bookmarkStart w:id="101" w:name="START_PAY_XMMC_16_AMT"/>
      <w:bookmarkEnd w:id="101"/>
      <w:bookmarkStart w:id="102" w:name="END_PAY_XMMC_14_AMT"/>
      <w:bookmarkEnd w:id="102"/>
      <w:bookmarkStart w:id="103" w:name="START_PAY_XMMC_03_AMT"/>
      <w:bookmarkEnd w:id="103"/>
      <w:bookmarkStart w:id="104" w:name="START_PAY_XMMC_15_AMT"/>
      <w:bookmarkEnd w:id="104"/>
      <w:bookmarkStart w:id="105" w:name="START_PAY_XMMC_07_AMT"/>
      <w:bookmarkEnd w:id="105"/>
      <w:bookmarkStart w:id="106" w:name="END_PAY_XMMC_09_AMT"/>
      <w:bookmarkEnd w:id="106"/>
      <w:bookmarkStart w:id="107" w:name="END_PAY_XMMC_06_AMT"/>
      <w:bookmarkEnd w:id="107"/>
      <w:bookmarkStart w:id="108" w:name="START_PAY_XMMC_12_AMT"/>
      <w:bookmarkEnd w:id="108"/>
      <w:bookmarkStart w:id="109" w:name="DIS_MARK_PAY_ZRZYHYQXZC_AMT_2"/>
      <w:bookmarkEnd w:id="109"/>
      <w:bookmarkStart w:id="110" w:name="START_PAY_XMMC_06_AMT"/>
      <w:bookmarkEnd w:id="110"/>
      <w:bookmarkStart w:id="111" w:name="DIS_MARK_PAY_ZWHBZC_AMT_2"/>
      <w:bookmarkEnd w:id="111"/>
      <w:bookmarkStart w:id="112" w:name="START_PAY_XMMC_01_AMT"/>
      <w:bookmarkEnd w:id="112"/>
      <w:bookmarkStart w:id="113" w:name="END_PAY_JRZC_AMT_2"/>
      <w:bookmarkEnd w:id="113"/>
      <w:bookmarkStart w:id="114" w:name="DIS_MARK_PAY_QTZC_AMT_2"/>
      <w:bookmarkEnd w:id="114"/>
      <w:bookmarkStart w:id="115" w:name="DIS_MARK_PAY_ZYXZC_AMT_2"/>
      <w:bookmarkEnd w:id="115"/>
      <w:bookmarkStart w:id="116" w:name="START_PAY_ZYXZC_AMT_2"/>
      <w:bookmarkEnd w:id="116"/>
      <w:bookmarkStart w:id="117" w:name="END_PAY_XMMC_12_AMT"/>
      <w:bookmarkEnd w:id="117"/>
      <w:bookmarkStart w:id="118" w:name="DIS_MARK_PAY_JTZC_AMT_2"/>
      <w:bookmarkEnd w:id="118"/>
      <w:bookmarkStart w:id="119" w:name="DIS_MARK_PAY_ZWFXZC_AMT_2"/>
      <w:bookmarkEnd w:id="119"/>
      <w:bookmarkStart w:id="120" w:name="DIS_MARK_PAY_XMMC_12_AMT"/>
      <w:bookmarkEnd w:id="120"/>
      <w:bookmarkStart w:id="121" w:name="START_PAY_XMMC_08_AMT"/>
      <w:bookmarkEnd w:id="121"/>
      <w:bookmarkStart w:id="122" w:name="DIS_MARK_PAY_ZYKTZC_AMT_2"/>
      <w:bookmarkEnd w:id="122"/>
      <w:bookmarkStart w:id="123" w:name="END_PAY_LYWZCBZC_AMT_2"/>
      <w:bookmarkEnd w:id="123"/>
      <w:bookmarkStart w:id="124" w:name="START_PAY_XMMC_22_AMT"/>
      <w:bookmarkEnd w:id="124"/>
      <w:bookmarkStart w:id="125" w:name="START_PAY_XMMC_30_AMT"/>
      <w:bookmarkEnd w:id="125"/>
      <w:bookmarkStart w:id="126" w:name="END_PAY_ZYXZC_AMT_2"/>
      <w:bookmarkEnd w:id="126"/>
      <w:bookmarkStart w:id="127" w:name="DIS_MARK_PAY_XMMC_27_AMT"/>
      <w:bookmarkEnd w:id="127"/>
      <w:bookmarkStart w:id="128" w:name="START_PAY_XMMC_02_AMT"/>
      <w:bookmarkEnd w:id="128"/>
      <w:bookmarkStart w:id="129" w:name="END_PAY_YBGGFWXMZC"/>
      <w:bookmarkEnd w:id="129"/>
      <w:bookmarkStart w:id="130" w:name="START_PAY_NLSZC_AMT_2"/>
      <w:bookmarkEnd w:id="130"/>
      <w:bookmarkStart w:id="131" w:name="DIS_MARK_PAY_XMMC_17_AMT"/>
      <w:bookmarkEnd w:id="131"/>
      <w:bookmarkStart w:id="132" w:name="START_PAY_XMMC_27_AMT"/>
      <w:bookmarkEnd w:id="132"/>
      <w:bookmarkStart w:id="133" w:name="DIS_MARK_PAY_NLSZC_AMT_2"/>
      <w:bookmarkEnd w:id="133"/>
      <w:bookmarkStart w:id="134" w:name="DIS_MARK_PAY_XMMC_14_AMT"/>
      <w:bookmarkEnd w:id="134"/>
      <w:bookmarkStart w:id="135" w:name="DIS_MARK_PAY_YZQTDQZC_AMT_2"/>
      <w:bookmarkEnd w:id="135"/>
      <w:bookmarkStart w:id="136" w:name="END_PAY_JTZC_AMT_2"/>
      <w:bookmarkEnd w:id="136"/>
      <w:bookmarkStart w:id="137" w:name="DIS_MARK_PAY_XMMC_13_AMT"/>
      <w:bookmarkEnd w:id="137"/>
      <w:bookmarkStart w:id="138" w:name="END_PAY_ZYKTZC_AMT_2"/>
      <w:bookmarkEnd w:id="138"/>
      <w:bookmarkStart w:id="139" w:name="END_PAY_SYFWZC_AMT_2"/>
      <w:bookmarkEnd w:id="139"/>
      <w:bookmarkStart w:id="140" w:name="START_PAY_SYFWZC_AMT_2"/>
      <w:bookmarkEnd w:id="140"/>
      <w:bookmarkStart w:id="141" w:name="START_PAY_ZHFZJYJGLZC_AMT_2"/>
      <w:bookmarkEnd w:id="141"/>
      <w:bookmarkStart w:id="142" w:name="DIS_MARK_PAY_SYFWZC_AMT_2"/>
      <w:bookmarkEnd w:id="142"/>
      <w:bookmarkStart w:id="143" w:name="END_PAY_XMMC_24_AMT"/>
      <w:bookmarkEnd w:id="143"/>
      <w:bookmarkStart w:id="144" w:name="END_PAY_ZRZYHYQXZC_AMT_2"/>
      <w:bookmarkEnd w:id="144"/>
      <w:bookmarkStart w:id="145" w:name="DIS_MARK_PAY_ZFBZZC_AMT_2"/>
      <w:bookmarkEnd w:id="145"/>
      <w:bookmarkStart w:id="146" w:name="END_PAY_XMMC_29_AMT"/>
      <w:bookmarkEnd w:id="146"/>
      <w:bookmarkStart w:id="147" w:name="END_PAY_CXSQZC_AMT_2"/>
      <w:bookmarkEnd w:id="147"/>
      <w:bookmarkStart w:id="148" w:name="START_PAY_ZYKTZC_AMT_2"/>
      <w:bookmarkEnd w:id="148"/>
      <w:bookmarkStart w:id="149" w:name="END_PAY_XMMC_25_AMT"/>
      <w:bookmarkEnd w:id="149"/>
      <w:bookmarkStart w:id="150" w:name="START_PAY_JRZC_AMT_2"/>
      <w:bookmarkEnd w:id="150"/>
      <w:bookmarkStart w:id="151" w:name="DIS_MARK_PAY_XMMC_10_AMT"/>
      <w:bookmarkEnd w:id="151"/>
      <w:bookmarkStart w:id="152" w:name="END_PAY_ZFBZZC_AMT_2"/>
      <w:bookmarkEnd w:id="152"/>
      <w:bookmarkStart w:id="153" w:name="START_PAY_YZQTDQZC_AMT_2"/>
      <w:bookmarkEnd w:id="153"/>
      <w:bookmarkStart w:id="154" w:name="END_PAY_XMMC_23_AMT"/>
      <w:bookmarkEnd w:id="154"/>
      <w:bookmarkStart w:id="155" w:name="END_PAY_ZWFXZC_AMT_2"/>
      <w:bookmarkEnd w:id="155"/>
      <w:bookmarkStart w:id="156" w:name="START_PAY_LYWZCBZC_AMT_2"/>
      <w:bookmarkEnd w:id="156"/>
      <w:bookmarkStart w:id="157" w:name="DIS_MARK_PAY_XMMC_02_AMT"/>
      <w:bookmarkEnd w:id="157"/>
      <w:bookmarkStart w:id="158" w:name="START_PAY_ZWHBZC_AMT_2"/>
      <w:bookmarkEnd w:id="158"/>
    </w:p>
    <w:p w14:paraId="0CFA4029">
      <w:pPr>
        <w:numPr>
          <w:ilvl w:val="0"/>
          <w:numId w:val="0"/>
        </w:numPr>
        <w:overflowPunct w:val="0"/>
        <w:spacing w:line="60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本年度未涉及政府性基金预算、国有资本经营预算及社会保险基金预算项目。</w:t>
      </w:r>
    </w:p>
    <w:p w14:paraId="0CEA06DD">
      <w:pPr>
        <w:numPr>
          <w:ilvl w:val="0"/>
          <w:numId w:val="0"/>
        </w:numPr>
        <w:overflowPunct w:val="0"/>
        <w:spacing w:line="600" w:lineRule="exact"/>
        <w:ind w:firstLine="643" w:firstLineChars="200"/>
        <w:rPr>
          <w:rFonts w:ascii="仿宋_GB2312" w:hAnsi="仿宋_GB2312" w:eastAsia="仿宋_GB2312" w:cs="仿宋_GB2312"/>
          <w:color w:val="000000"/>
          <w:sz w:val="32"/>
          <w:szCs w:val="32"/>
          <w:u w:val="none"/>
          <w:shd w:val="clear" w:color="auto" w:fill="FFFFFF"/>
        </w:rPr>
      </w:pPr>
      <w:r>
        <w:rPr>
          <w:rFonts w:ascii="Times New Roman" w:hAnsi="Times New Roman" w:eastAsia="仿宋_GB2312" w:cs="Times New Roman"/>
          <w:b/>
          <w:bCs/>
          <w:kern w:val="0"/>
          <w:sz w:val="32"/>
          <w:szCs w:val="32"/>
        </w:rPr>
        <w:t>部门评价开展情况。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u w:val="none"/>
          <w:shd w:val="clear" w:color="auto" w:fill="FFFFFF"/>
          <w:lang w:eastAsia="zh-CN"/>
        </w:rPr>
        <w:t>202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u w:val="none"/>
          <w:shd w:val="clear" w:color="auto" w:fill="FFFFFF"/>
          <w:lang w:val="en-US" w:eastAsia="zh-CN"/>
        </w:rPr>
        <w:t>4</w:t>
      </w:r>
      <w:r>
        <w:rPr>
          <w:rFonts w:ascii="仿宋_GB2312" w:hAnsi="仿宋_GB2312" w:eastAsia="仿宋_GB2312" w:cs="仿宋_GB2312"/>
          <w:color w:val="000000"/>
          <w:sz w:val="32"/>
          <w:szCs w:val="32"/>
          <w:u w:val="none"/>
          <w:shd w:val="clear" w:color="auto" w:fill="FFFFFF"/>
        </w:rPr>
        <w:t>年本</w:t>
      </w:r>
      <w:bookmarkStart w:id="159" w:name="START_DEPT3"/>
      <w:bookmarkEnd w:id="159"/>
      <w:bookmarkStart w:id="160" w:name="DIS_MARK_DEPT3"/>
      <w:bookmarkEnd w:id="160"/>
      <w:bookmarkStart w:id="161" w:name="END_DEPT3"/>
      <w:bookmarkEnd w:id="161"/>
      <w:bookmarkStart w:id="162" w:name="START_DIV3"/>
      <w:bookmarkEnd w:id="162"/>
      <w:bookmarkStart w:id="163" w:name="IS_DEPT3"/>
      <w:bookmarkEnd w:id="163"/>
      <w:bookmarkStart w:id="164" w:name="DIS_MARK_DIV3"/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/>
          <w:shd w:val="clear" w:color="auto" w:fill="FFFFFF"/>
        </w:rPr>
        <w:t>单位</w:t>
      </w:r>
      <w:bookmarkEnd w:id="164"/>
      <w:bookmarkStart w:id="165" w:name="END_DIV3"/>
      <w:bookmarkEnd w:id="165"/>
      <w:r>
        <w:rPr>
          <w:rFonts w:ascii="仿宋_GB2312" w:hAnsi="仿宋_GB2312" w:eastAsia="仿宋_GB2312" w:cs="仿宋_GB2312"/>
          <w:color w:val="000000"/>
          <w:sz w:val="32"/>
          <w:szCs w:val="32"/>
          <w:u w:val="none"/>
          <w:shd w:val="clear" w:color="auto" w:fill="FFFFFF"/>
        </w:rPr>
        <w:t>一般公共预算拨款支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/>
          <w:shd w:val="clear" w:color="auto" w:fill="FFFFFF"/>
          <w:lang w:val="en-US" w:eastAsia="zh-CN"/>
        </w:rPr>
        <w:t>出预算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u w:val="none"/>
          <w:shd w:val="clear" w:color="auto" w:fill="FFFFFF"/>
          <w:lang w:val="en-US" w:eastAsia="zh-CN"/>
        </w:rPr>
        <w:t>825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/>
          <w:shd w:val="clear" w:color="auto" w:fill="FFFFFF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u w:val="none"/>
          <w:shd w:val="clear" w:color="auto" w:fill="FFFFFF"/>
          <w:lang w:val="en-US" w:eastAsia="zh-CN"/>
        </w:rPr>
        <w:t>37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/>
          <w:shd w:val="clear" w:color="auto" w:fill="FFFFFF"/>
        </w:rPr>
        <w:t>万元</w:t>
      </w:r>
      <w:r>
        <w:rPr>
          <w:rFonts w:ascii="仿宋_GB2312" w:hAnsi="仿宋_GB2312" w:eastAsia="仿宋_GB2312" w:cs="仿宋_GB2312"/>
          <w:color w:val="000000"/>
          <w:sz w:val="32"/>
          <w:szCs w:val="32"/>
          <w:u w:val="none"/>
          <w:shd w:val="clear" w:color="auto" w:fill="FFFFFF"/>
        </w:rPr>
        <w:t>，</w:t>
      </w:r>
      <w:bookmarkStart w:id="166" w:name="START_PAY_YBGGYSBKZC"/>
      <w:bookmarkEnd w:id="166"/>
      <w:bookmarkStart w:id="167" w:name="DIS_MARK_PAY_YBGGYSBKZC"/>
      <w:r>
        <w:rPr>
          <w:rFonts w:ascii="仿宋_GB2312" w:hAnsi="仿宋_GB2312" w:eastAsia="仿宋_GB2312" w:cs="仿宋_GB2312"/>
          <w:color w:val="000000"/>
          <w:sz w:val="32"/>
          <w:szCs w:val="32"/>
          <w:u w:val="none"/>
          <w:shd w:val="clear" w:color="auto" w:fill="FFFFFF"/>
        </w:rPr>
        <w:t>其中：一般公共服务支出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u w:val="none"/>
          <w:shd w:val="clear" w:color="auto" w:fill="FFFFFF"/>
          <w:lang w:val="en-US" w:eastAsia="zh-CN"/>
        </w:rPr>
        <w:t>563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/>
          <w:shd w:val="clear" w:color="auto" w:fill="FFFFFF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u w:val="none"/>
          <w:shd w:val="clear" w:color="auto" w:fill="FFFFFF"/>
          <w:lang w:val="en-US" w:eastAsia="zh-CN"/>
        </w:rPr>
        <w:t>08</w:t>
      </w:r>
      <w:r>
        <w:rPr>
          <w:rFonts w:ascii="仿宋_GB2312" w:hAnsi="仿宋_GB2312" w:eastAsia="仿宋_GB2312" w:cs="仿宋_GB2312"/>
          <w:color w:val="000000"/>
          <w:sz w:val="32"/>
          <w:szCs w:val="32"/>
          <w:u w:val="none"/>
          <w:shd w:val="clear" w:color="auto" w:fill="FFFFFF"/>
        </w:rPr>
        <w:t>万元，占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u w:val="none"/>
          <w:shd w:val="clear" w:color="auto" w:fill="FFFFFF"/>
          <w:lang w:val="en-US" w:eastAsia="zh-CN"/>
        </w:rPr>
        <w:t>68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/>
          <w:shd w:val="clear" w:color="auto" w:fill="FFFFFF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u w:val="none"/>
          <w:shd w:val="clear" w:color="auto" w:fill="FFFFFF"/>
          <w:lang w:val="en-US" w:eastAsia="zh-CN"/>
        </w:rPr>
        <w:t>22</w:t>
      </w:r>
      <w:r>
        <w:rPr>
          <w:rFonts w:ascii="仿宋_GB2312" w:hAnsi="仿宋_GB2312" w:eastAsia="仿宋_GB2312" w:cs="仿宋_GB2312"/>
          <w:color w:val="000000"/>
          <w:sz w:val="32"/>
          <w:szCs w:val="32"/>
          <w:u w:val="none"/>
          <w:shd w:val="clear" w:color="auto" w:fill="FFFFFF"/>
        </w:rPr>
        <w:t>%；社会保障和就业支出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u w:val="none"/>
          <w:shd w:val="clear" w:color="auto" w:fill="FFFFFF"/>
          <w:lang w:val="en-US" w:eastAsia="zh-CN"/>
        </w:rPr>
        <w:t>54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/>
          <w:shd w:val="clear" w:color="auto" w:fill="FFFFFF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u w:val="none"/>
          <w:shd w:val="clear" w:color="auto" w:fill="FFFFFF"/>
          <w:lang w:val="en-US" w:eastAsia="zh-CN"/>
        </w:rPr>
        <w:t>1</w:t>
      </w:r>
      <w:r>
        <w:rPr>
          <w:rFonts w:ascii="仿宋_GB2312" w:hAnsi="仿宋_GB2312" w:eastAsia="仿宋_GB2312" w:cs="仿宋_GB2312"/>
          <w:color w:val="000000"/>
          <w:sz w:val="32"/>
          <w:szCs w:val="32"/>
          <w:u w:val="none"/>
          <w:shd w:val="clear" w:color="auto" w:fill="FFFFFF"/>
        </w:rPr>
        <w:t>万元，占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u w:val="none"/>
          <w:shd w:val="clear" w:color="auto" w:fill="FFFFFF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/>
          <w:shd w:val="clear" w:color="auto" w:fill="FFFFFF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u w:val="none"/>
          <w:shd w:val="clear" w:color="auto" w:fill="FFFFFF"/>
          <w:lang w:val="en-US" w:eastAsia="zh-CN"/>
        </w:rPr>
        <w:t>55</w:t>
      </w:r>
      <w:r>
        <w:rPr>
          <w:rFonts w:ascii="仿宋_GB2312" w:hAnsi="仿宋_GB2312" w:eastAsia="仿宋_GB2312" w:cs="仿宋_GB2312"/>
          <w:color w:val="000000"/>
          <w:sz w:val="32"/>
          <w:szCs w:val="32"/>
          <w:u w:val="none"/>
          <w:shd w:val="clear" w:color="auto" w:fill="FFFFFF"/>
        </w:rPr>
        <w:t>%；卫生健康支出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u w:val="none"/>
          <w:shd w:val="clear" w:color="auto" w:fill="FFFFFF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/>
          <w:shd w:val="clear" w:color="auto" w:fill="FFFFFF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u w:val="none"/>
          <w:shd w:val="clear" w:color="auto" w:fill="FFFFFF"/>
          <w:lang w:val="en-US" w:eastAsia="zh-CN"/>
        </w:rPr>
        <w:t>1</w:t>
      </w:r>
      <w:r>
        <w:rPr>
          <w:rFonts w:ascii="仿宋_GB2312" w:hAnsi="仿宋_GB2312" w:eastAsia="仿宋_GB2312" w:cs="仿宋_GB2312"/>
          <w:color w:val="000000"/>
          <w:sz w:val="32"/>
          <w:szCs w:val="32"/>
          <w:u w:val="none"/>
          <w:shd w:val="clear" w:color="auto" w:fill="FFFFFF"/>
        </w:rPr>
        <w:t>万元，占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u w:val="none"/>
          <w:shd w:val="clear" w:color="auto" w:fill="FFFFFF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/>
          <w:shd w:val="clear" w:color="auto" w:fill="FFFFFF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u w:val="none"/>
          <w:shd w:val="clear" w:color="auto" w:fill="FFFFFF"/>
          <w:lang w:val="en-US" w:eastAsia="zh-CN"/>
        </w:rPr>
        <w:t>56</w:t>
      </w:r>
      <w:r>
        <w:rPr>
          <w:rFonts w:ascii="仿宋_GB2312" w:hAnsi="仿宋_GB2312" w:eastAsia="仿宋_GB2312" w:cs="仿宋_GB2312"/>
          <w:color w:val="000000"/>
          <w:sz w:val="32"/>
          <w:szCs w:val="32"/>
          <w:u w:val="none"/>
          <w:shd w:val="clear" w:color="auto" w:fill="FFFFFF"/>
        </w:rPr>
        <w:t>%；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/>
          <w:shd w:val="clear" w:color="auto" w:fill="FFFFFF"/>
          <w:lang w:eastAsia="zh-CN"/>
        </w:rPr>
        <w:t>农林水</w:t>
      </w:r>
      <w:r>
        <w:rPr>
          <w:rFonts w:ascii="仿宋_GB2312" w:hAnsi="仿宋_GB2312" w:eastAsia="仿宋_GB2312" w:cs="仿宋_GB2312"/>
          <w:color w:val="000000"/>
          <w:sz w:val="32"/>
          <w:szCs w:val="32"/>
          <w:u w:val="none"/>
          <w:shd w:val="clear" w:color="auto" w:fill="FFFFFF"/>
        </w:rPr>
        <w:t>支出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u w:val="none"/>
          <w:shd w:val="clear" w:color="auto" w:fill="FFFFFF"/>
          <w:lang w:val="en-US" w:eastAsia="zh-CN"/>
        </w:rPr>
        <w:t>157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/>
          <w:shd w:val="clear" w:color="auto" w:fill="FFFFFF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u w:val="none"/>
          <w:shd w:val="clear" w:color="auto" w:fill="FFFFFF"/>
          <w:lang w:val="en-US" w:eastAsia="zh-CN"/>
        </w:rPr>
        <w:t>3</w:t>
      </w:r>
      <w:r>
        <w:rPr>
          <w:rFonts w:ascii="仿宋_GB2312" w:hAnsi="仿宋_GB2312" w:eastAsia="仿宋_GB2312" w:cs="仿宋_GB2312"/>
          <w:color w:val="000000"/>
          <w:sz w:val="32"/>
          <w:szCs w:val="32"/>
          <w:u w:val="none"/>
          <w:shd w:val="clear" w:color="auto" w:fill="FFFFFF"/>
        </w:rPr>
        <w:t>万元，占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u w:val="none"/>
          <w:shd w:val="clear" w:color="auto" w:fill="FFFFFF"/>
          <w:lang w:val="en-US" w:eastAsia="zh-CN"/>
        </w:rPr>
        <w:t>19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/>
          <w:shd w:val="clear" w:color="auto" w:fill="FFFFFF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u w:val="none"/>
          <w:shd w:val="clear" w:color="auto" w:fill="FFFFFF"/>
          <w:lang w:val="en-US" w:eastAsia="zh-CN"/>
        </w:rPr>
        <w:t>06</w:t>
      </w:r>
      <w:r>
        <w:rPr>
          <w:rFonts w:ascii="仿宋_GB2312" w:hAnsi="仿宋_GB2312" w:eastAsia="仿宋_GB2312" w:cs="仿宋_GB2312"/>
          <w:color w:val="000000"/>
          <w:sz w:val="32"/>
          <w:szCs w:val="32"/>
          <w:u w:val="none"/>
          <w:shd w:val="clear" w:color="auto" w:fill="FFFFFF"/>
        </w:rPr>
        <w:t>%；住房保障支出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u w:val="none"/>
          <w:shd w:val="clear" w:color="auto" w:fill="FFFFFF"/>
          <w:lang w:val="en-US" w:eastAsia="zh-CN"/>
        </w:rPr>
        <w:t>29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/>
          <w:shd w:val="clear" w:color="auto" w:fill="FFFFFF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u w:val="none"/>
          <w:shd w:val="clear" w:color="auto" w:fill="FFFFFF"/>
          <w:lang w:val="en-US" w:eastAsia="zh-CN"/>
        </w:rPr>
        <w:t>79</w:t>
      </w:r>
      <w:r>
        <w:rPr>
          <w:rFonts w:ascii="仿宋_GB2312" w:hAnsi="仿宋_GB2312" w:eastAsia="仿宋_GB2312" w:cs="仿宋_GB2312"/>
          <w:color w:val="000000"/>
          <w:sz w:val="32"/>
          <w:szCs w:val="32"/>
          <w:u w:val="none"/>
          <w:shd w:val="clear" w:color="auto" w:fill="FFFFFF"/>
        </w:rPr>
        <w:t>万元，占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u w:val="none"/>
          <w:shd w:val="clear" w:color="auto" w:fill="FFFFFF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/>
          <w:shd w:val="clear" w:color="auto" w:fill="FFFFFF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u w:val="none"/>
          <w:shd w:val="clear" w:color="auto" w:fill="FFFFFF"/>
          <w:lang w:val="en-US" w:eastAsia="zh-CN"/>
        </w:rPr>
        <w:t>61</w:t>
      </w:r>
      <w:r>
        <w:rPr>
          <w:rFonts w:ascii="仿宋_GB2312" w:hAnsi="仿宋_GB2312" w:eastAsia="仿宋_GB2312" w:cs="仿宋_GB2312"/>
          <w:color w:val="000000"/>
          <w:sz w:val="32"/>
          <w:szCs w:val="32"/>
          <w:u w:val="none"/>
          <w:shd w:val="clear" w:color="auto" w:fill="FFFFFF"/>
        </w:rPr>
        <w:t>%。</w:t>
      </w:r>
      <w:bookmarkEnd w:id="167"/>
    </w:p>
    <w:p w14:paraId="7CA1EAA9">
      <w:pPr>
        <w:numPr>
          <w:ilvl w:val="0"/>
          <w:numId w:val="0"/>
        </w:numPr>
        <w:ind w:firstLine="643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楷体_GB2312" w:cs="Times New Roman"/>
          <w:b/>
          <w:bCs/>
          <w:sz w:val="32"/>
          <w:szCs w:val="32"/>
          <w:lang w:eastAsia="zh-CN"/>
        </w:rPr>
        <w:t>（二）</w:t>
      </w:r>
      <w:r>
        <w:rPr>
          <w:rFonts w:ascii="Times New Roman" w:hAnsi="Times New Roman" w:eastAsia="楷体_GB2312" w:cs="Times New Roman"/>
          <w:b/>
          <w:bCs/>
          <w:sz w:val="32"/>
          <w:szCs w:val="32"/>
        </w:rPr>
        <w:t>绩效评价结果。</w:t>
      </w:r>
      <w:bookmarkStart w:id="168" w:name="OLE_LINK1"/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2024年度本单位整体支出年初预算数与年终决算数均为1263.96万元，预算完成率为100%。根据决算数据，本单位2024年度各项支出均按预算执行完毕。资金主要用于保障机关正常运行和完成各项事业发展目标，主要包括：</w:t>
      </w:r>
    </w:p>
    <w:p w14:paraId="2EC22E6F">
      <w:pPr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1.一般公共服务支出595.25万元，保障了政府日常运转、人大事务、财政事务、信访事务等。</w:t>
      </w:r>
    </w:p>
    <w:p w14:paraId="2B128ADF">
      <w:pPr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2.文化旅游体育与传媒支出16.74万元，用于组织开展文化活动。</w:t>
      </w:r>
    </w:p>
    <w:p w14:paraId="4F42FF62">
      <w:pPr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3.社会保障和就业支出15.12万元，主要用于机关事业单位养老保险缴费及其他社会保障支出。</w:t>
      </w:r>
    </w:p>
    <w:p w14:paraId="59454A12">
      <w:pPr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4.卫生健康支出3.45万元，用于行政单位医疗、计划生育事务及医疗救助。</w:t>
      </w:r>
    </w:p>
    <w:p w14:paraId="2A350AC4">
      <w:pPr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5.农林水支出531.83万元，为本单位支出重点，主要用于农业农村发展、巩固脱贫攻坚成果衔接乡村振兴、农村综合改革（如对村民委员会和村党支部的补助）等，有力支持了乡村产业发展和基础设施建设。</w:t>
      </w:r>
    </w:p>
    <w:p w14:paraId="4E7416C9">
      <w:pPr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6.交通运输支出8.19万元，用于缴纳职工住房公积金。</w:t>
      </w:r>
    </w:p>
    <w:p w14:paraId="0BA0D226">
      <w:pPr>
        <w:ind w:firstLine="640" w:firstLineChars="200"/>
        <w:rPr>
          <w:rFonts w:ascii="Times New Roman" w:hAnsi="Times New Roman" w:eastAsia="仿宋_GB2312" w:cs="Times New Roman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7.灾害防治及应急管理支出93.39万元，用于应急管理、消防救援及自然灾害救灾恢复等。</w:t>
      </w:r>
      <w:bookmarkEnd w:id="168"/>
      <w:bookmarkStart w:id="169" w:name="_GoBack"/>
      <w:bookmarkEnd w:id="169"/>
    </w:p>
    <w:p w14:paraId="57E24C36">
      <w:pPr>
        <w:pStyle w:val="9"/>
        <w:overflowPunct w:val="0"/>
        <w:autoSpaceDE/>
        <w:autoSpaceDN/>
        <w:spacing w:line="600" w:lineRule="exact"/>
        <w:ind w:firstLine="643" w:firstLineChars="200"/>
        <w:jc w:val="both"/>
        <w:rPr>
          <w:rFonts w:hint="eastAsia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ascii="Times New Roman" w:hAnsi="Times New Roman" w:eastAsia="楷体_GB2312" w:cs="Times New Roman"/>
          <w:b/>
          <w:bCs/>
          <w:color w:val="auto"/>
          <w:kern w:val="2"/>
          <w:sz w:val="32"/>
          <w:szCs w:val="32"/>
        </w:rPr>
        <w:t>（三）评价结果应用情况。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本单位将根据2024年度绩效自评结果，在编制2025年度预算、优化支出结构、加强资金管理和完善相关制度时加以应用：</w:t>
      </w:r>
    </w:p>
    <w:p w14:paraId="6DBC79B2">
      <w:pPr>
        <w:pStyle w:val="9"/>
        <w:overflowPunct w:val="0"/>
        <w:autoSpaceDE/>
        <w:autoSpaceDN/>
        <w:spacing w:line="60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1. 预算安排方面：将绩效自评结果作为2025年度预算安排的重要依据。对绩效目标完成好、效益显著的领域，在财力允许条件下优先保障；对绩效评价中发现问题的方面，在安排新增资金时从严控制。</w:t>
      </w:r>
    </w:p>
    <w:p w14:paraId="6D64AFEE">
      <w:pPr>
        <w:pStyle w:val="9"/>
        <w:overflowPunct w:val="0"/>
        <w:autoSpaceDE/>
        <w:autoSpaceDN/>
        <w:spacing w:line="60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2.支出结构调整方面：结合绩效评价反映出的资金需求和使用效果，进一步优化支出结构，确保资金向重点领域、民生项目倾斜，提高财政资金的配置效率。</w:t>
      </w:r>
    </w:p>
    <w:p w14:paraId="3685F33C">
      <w:pPr>
        <w:pStyle w:val="9"/>
        <w:overflowPunct w:val="0"/>
        <w:autoSpaceDE/>
        <w:autoSpaceDN/>
        <w:spacing w:line="60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3.资金管理方面：针对评价中发现的管理薄弱环节，进一步加强财务管理和会计核算，严格支出审核，确保资金安全、规范、有效使用。</w:t>
      </w:r>
    </w:p>
    <w:p w14:paraId="10AC2B62">
      <w:pPr>
        <w:pStyle w:val="9"/>
        <w:overflowPunct w:val="0"/>
        <w:autoSpaceDE/>
        <w:autoSpaceDN/>
        <w:spacing w:line="60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4.制度建设方面：不断完善内部预算绩效管理制度，强化绩效意识，将绩效管理贯穿预算编制、执行、监督全过程，提升本单位整体预算绩效管理水平。</w:t>
      </w:r>
    </w:p>
    <w:p w14:paraId="3BCA4FC2">
      <w:pPr>
        <w:pStyle w:val="9"/>
        <w:overflowPunct w:val="0"/>
        <w:autoSpaceDE/>
        <w:autoSpaceDN/>
        <w:spacing w:line="600" w:lineRule="exact"/>
        <w:ind w:firstLine="640" w:firstLineChars="200"/>
        <w:jc w:val="both"/>
        <w:rPr>
          <w:rFonts w:ascii="Times New Roman" w:hAnsi="Times New Roman" w:eastAsia="仿宋_GB2312" w:cs="Times New Roman"/>
          <w:color w:val="auto"/>
          <w:sz w:val="72"/>
          <w:szCs w:val="72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本单位2024年度预算资金在保障政府职能履行、促进地方经济社会发展方面发挥了积极作用。下一步，将继续深化预算绩效管理，努力提高财政资金使用效益。</w:t>
      </w:r>
    </w:p>
    <w:p w14:paraId="5F42E9A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BA1D44C"/>
    <w:multiLevelType w:val="singleLevel"/>
    <w:tmpl w:val="6BA1D44C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k1OWEwMzRlODdiNzA0ZGYxMDZmMzI1ZWRiZWIxM2QifQ=="/>
  </w:docVars>
  <w:rsids>
    <w:rsidRoot w:val="00000000"/>
    <w:rsid w:val="063D2F0C"/>
    <w:rsid w:val="08024366"/>
    <w:rsid w:val="10F863AD"/>
    <w:rsid w:val="14F51ED8"/>
    <w:rsid w:val="15A120AC"/>
    <w:rsid w:val="19240BBF"/>
    <w:rsid w:val="1BB91C9A"/>
    <w:rsid w:val="1D882BCA"/>
    <w:rsid w:val="21057250"/>
    <w:rsid w:val="27A74232"/>
    <w:rsid w:val="2B4C0B44"/>
    <w:rsid w:val="2F34560E"/>
    <w:rsid w:val="35ED362C"/>
    <w:rsid w:val="3B5A363D"/>
    <w:rsid w:val="47121270"/>
    <w:rsid w:val="489A18C8"/>
    <w:rsid w:val="4D513928"/>
    <w:rsid w:val="4DC25072"/>
    <w:rsid w:val="503264DF"/>
    <w:rsid w:val="506374B2"/>
    <w:rsid w:val="641F4B74"/>
    <w:rsid w:val="6AE14931"/>
    <w:rsid w:val="70910BA8"/>
    <w:rsid w:val="727342FE"/>
    <w:rsid w:val="747F58E7"/>
    <w:rsid w:val="74FB3A2C"/>
    <w:rsid w:val="785D666A"/>
    <w:rsid w:val="78D770B8"/>
    <w:rsid w:val="7B05641A"/>
    <w:rsid w:val="7BB26C07"/>
    <w:rsid w:val="7BBD6CF5"/>
    <w:rsid w:val="7CAC1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qFormat="1" w:unhideWhenUsed="0" w:uiPriority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szCs w:val="20"/>
    </w:rPr>
  </w:style>
  <w:style w:type="paragraph" w:styleId="4">
    <w:name w:val="Body Text Indent"/>
    <w:basedOn w:val="1"/>
    <w:next w:val="5"/>
    <w:unhideWhenUsed/>
    <w:qFormat/>
    <w:uiPriority w:val="99"/>
    <w:pPr>
      <w:widowControl/>
      <w:spacing w:after="120"/>
      <w:ind w:left="420" w:leftChars="200"/>
      <w:jc w:val="left"/>
    </w:pPr>
    <w:rPr>
      <w:rFonts w:ascii="宋体" w:hAnsi="宋体" w:eastAsia="宋体" w:cs="宋体"/>
      <w:kern w:val="0"/>
      <w:sz w:val="24"/>
    </w:rPr>
  </w:style>
  <w:style w:type="paragraph" w:styleId="5">
    <w:name w:val="Body Text First Indent 2"/>
    <w:basedOn w:val="4"/>
    <w:next w:val="1"/>
    <w:unhideWhenUsed/>
    <w:qFormat/>
    <w:uiPriority w:val="99"/>
    <w:pPr>
      <w:ind w:firstLine="420" w:firstLineChars="200"/>
    </w:pPr>
  </w:style>
  <w:style w:type="paragraph" w:styleId="6">
    <w:name w:val="footnote text"/>
    <w:basedOn w:val="1"/>
    <w:next w:val="5"/>
    <w:semiHidden/>
    <w:qFormat/>
    <w:uiPriority w:val="0"/>
    <w:pPr>
      <w:snapToGrid w:val="0"/>
      <w:jc w:val="left"/>
    </w:pPr>
    <w:rPr>
      <w:sz w:val="18"/>
      <w:szCs w:val="18"/>
    </w:rPr>
  </w:style>
  <w:style w:type="paragraph" w:customStyle="1" w:styleId="9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eastAsia="黑体" w:cs="黑体" w:hAnsiTheme="minorHAnsi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1450</Words>
  <Characters>1643</Characters>
  <Lines>0</Lines>
  <Paragraphs>0</Paragraphs>
  <TotalTime>2</TotalTime>
  <ScaleCrop>false</ScaleCrop>
  <LinksUpToDate>false</LinksUpToDate>
  <CharactersWithSpaces>1644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呐，给你的</cp:lastModifiedBy>
  <dcterms:modified xsi:type="dcterms:W3CDTF">2025-10-29T08:31:46Z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E17CEF42F47F4883ABD24DE7F593286D</vt:lpwstr>
  </property>
  <property fmtid="{D5CDD505-2E9C-101B-9397-08002B2CF9AE}" pid="4" name="KSOTemplateDocerSaveRecord">
    <vt:lpwstr>eyJoZGlkIjoiN2MxOWZiNTY4NjhmNzYzZjIxNzk0ZWYzYTVjNjg0NDEiLCJ1c2VySWQiOiI2NjA4NzYyNTMifQ==</vt:lpwstr>
  </property>
</Properties>
</file>